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jc w:val="center"/>
        <w:rPr>
          <w:lang w:val="en-US" w:eastAsia="ru-RU"/>
        </w:rPr>
      </w:pPr>
    </w:p>
    <w:p>
      <w:pPr>
        <w:pStyle w:val="a3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a3"/>
        <w:jc w:val="center"/>
        <w:rPr>
          <w:lang w:eastAsia="ru-RU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a3"/>
        <w:jc w:val="center"/>
        <w:rPr>
          <w:b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a3"/>
        <w:jc w:val="center"/>
        <w:rPr>
          <w:b/>
          <w:bCs/>
          <w:sz w:val="32"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 xml:space="preserve">LXIII </w:t>
      </w:r>
      <w:r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 xml:space="preserve">VI </w:t>
      </w:r>
      <w:r>
        <w:rPr>
          <w:sz w:val="28"/>
          <w:szCs w:val="28"/>
        </w:rPr>
        <w:t>созыва)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5"/>
        <w:gridCol w:w="943"/>
        <w:gridCol w:w="4583"/>
        <w:gridCol w:w="120"/>
      </w:tblGrid>
      <w:tr>
        <w:trPr>
          <w:gridAfter w:val="1"/>
          <w:wAfter w:w="129" w:type="dxa"/>
        </w:trPr>
        <w:tc>
          <w:tcPr>
            <w:tcW w:w="4077" w:type="dxa"/>
          </w:tcPr>
          <w:p>
            <w:pPr>
              <w:pStyle w:val="a3"/>
              <w:rPr>
                <w:sz w:val="28"/>
                <w:szCs w:val="28"/>
              </w:rPr>
            </w:pPr>
          </w:p>
          <w:p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bCs/>
                <w:sz w:val="28"/>
                <w:szCs w:val="28"/>
                <w:lang w:val="en-US"/>
              </w:rPr>
              <w:t>8 апреля</w:t>
            </w:r>
            <w:r>
              <w:rPr>
                <w:bCs/>
                <w:sz w:val="28"/>
                <w:szCs w:val="28"/>
              </w:rPr>
              <w:t xml:space="preserve"> 2024 года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78" w:type="dxa"/>
            <w:gridSpan w:val="2"/>
          </w:tcPr>
          <w:p>
            <w:pPr>
              <w:pStyle w:val="a3"/>
              <w:jc w:val="right"/>
              <w:rPr>
                <w:sz w:val="28"/>
                <w:szCs w:val="28"/>
              </w:rPr>
            </w:pPr>
          </w:p>
          <w:p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419</w:t>
            </w:r>
          </w:p>
          <w:p>
            <w:pPr>
              <w:pStyle w:val="a3"/>
              <w:rPr>
                <w:sz w:val="28"/>
                <w:szCs w:val="28"/>
              </w:rPr>
            </w:pPr>
          </w:p>
        </w:tc>
      </w:tr>
      <w:tr>
        <w:tblPrEx>
          <w:tblLook w:val="0000" w:firstRow="0" w:lastRow="0" w:firstColumn="0" w:lastColumn="0" w:noHBand="0" w:noVBand="0"/>
        </w:tblPrEx>
        <w:tc>
          <w:tcPr>
            <w:tcW w:w="5070" w:type="dxa"/>
            <w:gridSpan w:val="2"/>
          </w:tcPr>
          <w:p>
            <w:pPr>
              <w:pStyle w:val="a3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 дополнительном использовании собственных финансовых средств городского округа Анадырь для реализации органами местного самоуправления городского округа Анадырь переданных государственных полномочий</w:t>
            </w:r>
          </w:p>
        </w:tc>
        <w:tc>
          <w:tcPr>
            <w:tcW w:w="5014" w:type="dxa"/>
            <w:gridSpan w:val="2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</w:tbl>
    <w:p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В соответствии со ст. 86 Бюджетного кодекса Российской Федерации, Федеральным законом от 6 октября 2023 года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>Уставом городского округа Анадырь, Решением Совета депутатов городского округа Анадырь от 6 марта 2024 г. № 412 «Об утверждении Положения о порядке использования собственных финансовых средств городского округа Анадырь и материальных ресурсов для осуществления отдельных государственных полномочий, переданных органам местного самоуправления</w:t>
      </w:r>
      <w:r>
        <w:rPr>
          <w:rFonts w:eastAsiaTheme="minorHAnsi"/>
          <w:sz w:val="26"/>
          <w:szCs w:val="26"/>
        </w:rPr>
        <w:t xml:space="preserve"> городского округа Анадырь»</w:t>
      </w:r>
    </w:p>
    <w:p>
      <w:pPr>
        <w:pStyle w:val="a3"/>
        <w:jc w:val="both"/>
        <w:rPr>
          <w:sz w:val="26"/>
          <w:szCs w:val="26"/>
        </w:rPr>
      </w:pPr>
    </w:p>
    <w:p>
      <w:pPr>
        <w:pStyle w:val="a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городского округа Анадырь </w:t>
      </w:r>
    </w:p>
    <w:p>
      <w:pPr>
        <w:pStyle w:val="a3"/>
        <w:jc w:val="both"/>
        <w:rPr>
          <w:b/>
          <w:sz w:val="26"/>
          <w:szCs w:val="26"/>
        </w:rPr>
      </w:pPr>
    </w:p>
    <w:p>
      <w:pPr>
        <w:pStyle w:val="a3"/>
        <w:jc w:val="both"/>
        <w:rPr>
          <w:sz w:val="26"/>
          <w:szCs w:val="26"/>
        </w:rPr>
      </w:pPr>
      <w:r>
        <w:rPr>
          <w:b/>
          <w:sz w:val="26"/>
          <w:szCs w:val="26"/>
        </w:rPr>
        <w:t>Р Е Ш И Л</w:t>
      </w:r>
      <w:r>
        <w:rPr>
          <w:sz w:val="26"/>
          <w:szCs w:val="26"/>
        </w:rPr>
        <w:t>:</w:t>
      </w:r>
    </w:p>
    <w:p>
      <w:pPr>
        <w:pStyle w:val="a3"/>
        <w:jc w:val="both"/>
        <w:rPr>
          <w:sz w:val="26"/>
          <w:szCs w:val="26"/>
        </w:rPr>
      </w:pP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1. Разрешить Администрации городского округа Анадырь в 2024 году:</w:t>
      </w: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1) использовать собственные финансовые средства городского округа Анадырь дополнительно к перечисленным субвенциям на выполнение органами местного самоуправления городского округа Анадырь переданных государственных полномочий:</w:t>
      </w: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по созданию и обеспечению деятельности административных комиссий;</w:t>
      </w: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по образованию и организации деятельности комиссий по делам несовершеннолетних и защите их прав;</w:t>
      </w: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на государственную регистрацию актов гражданского состояния.</w:t>
      </w:r>
    </w:p>
    <w:p>
      <w:pPr>
        <w:pStyle w:val="ConsPlusNormal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осуществлять финансирование дополнительных расходов, указанных в </w:t>
      </w:r>
      <w:r>
        <w:rPr>
          <w:sz w:val="26"/>
          <w:szCs w:val="26"/>
        </w:rPr>
        <w:lastRenderedPageBreak/>
        <w:t>пункте 1 части 1 настоящего решения, необходимых для выполнения переданных государственных полномочий, за счет собственных доходов бюджета городского округа Анадырь.</w:t>
      </w:r>
    </w:p>
    <w:p>
      <w:pPr>
        <w:pStyle w:val="a3"/>
        <w:ind w:firstLine="708"/>
        <w:jc w:val="both"/>
        <w:rPr>
          <w:sz w:val="26"/>
          <w:szCs w:val="26"/>
        </w:rPr>
      </w:pP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подлежит опубликованию и вступает в силу со дня его опубликования.</w:t>
      </w:r>
    </w:p>
    <w:p>
      <w:pPr>
        <w:ind w:firstLine="708"/>
        <w:jc w:val="both"/>
        <w:rPr>
          <w:sz w:val="26"/>
          <w:szCs w:val="26"/>
        </w:rPr>
      </w:pPr>
    </w:p>
    <w:p>
      <w:pPr>
        <w:ind w:firstLine="708"/>
        <w:jc w:val="both"/>
        <w:rPr>
          <w:sz w:val="26"/>
          <w:szCs w:val="26"/>
        </w:rPr>
      </w:pPr>
    </w:p>
    <w:p>
      <w:pPr>
        <w:ind w:firstLine="708"/>
        <w:jc w:val="both"/>
        <w:rPr>
          <w:sz w:val="26"/>
          <w:szCs w:val="26"/>
        </w:rPr>
      </w:pPr>
    </w:p>
    <w:p>
      <w:pPr>
        <w:ind w:firstLine="708"/>
        <w:jc w:val="both"/>
        <w:rPr>
          <w:sz w:val="26"/>
          <w:szCs w:val="2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637"/>
        <w:gridCol w:w="4394"/>
      </w:tblGrid>
      <w:tr>
        <w:tc>
          <w:tcPr>
            <w:tcW w:w="5637" w:type="dxa"/>
          </w:tcPr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_________________Л.А. Николаев</w:t>
            </w:r>
          </w:p>
        </w:tc>
        <w:tc>
          <w:tcPr>
            <w:tcW w:w="4394" w:type="dxa"/>
          </w:tcPr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>
            <w:pPr>
              <w:pStyle w:val="a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__________________В.А. Тюхтий</w:t>
            </w:r>
          </w:p>
        </w:tc>
      </w:tr>
    </w:tbl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</w:p>
    <w:p>
      <w:pPr>
        <w:pStyle w:val="a3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г. Анадырь</w:t>
      </w:r>
    </w:p>
    <w:p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8 апреля 2024 года </w:t>
      </w:r>
    </w:p>
    <w:p>
      <w:pPr>
        <w:pStyle w:val="a3"/>
        <w:rPr>
          <w:bCs/>
          <w:color w:val="FF0000"/>
          <w:sz w:val="26"/>
          <w:szCs w:val="26"/>
        </w:rPr>
      </w:pPr>
      <w:r>
        <w:rPr>
          <w:bCs/>
          <w:sz w:val="28"/>
          <w:szCs w:val="28"/>
        </w:rPr>
        <w:t xml:space="preserve">№ </w:t>
      </w:r>
      <w:r>
        <w:rPr>
          <w:bCs/>
          <w:color w:val="000000"/>
          <w:sz w:val="26"/>
          <w:szCs w:val="26"/>
        </w:rPr>
        <w:t>420</w:t>
      </w:r>
      <w:bookmarkStart w:id="0" w:name="_GoBack"/>
      <w:bookmarkEnd w:id="0"/>
    </w:p>
    <w:sectPr>
      <w:headerReference w:type="default" r:id="rId8"/>
      <w:pgSz w:w="11906" w:h="16838"/>
      <w:pgMar w:top="709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715757"/>
      <w:docPartObj>
        <w:docPartGallery w:val="Page Numbers (Top of Page)"/>
        <w:docPartUnique/>
      </w:docPartObj>
    </w:sdtPr>
    <w:sdtContent>
      <w:p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9CAF0-B9AF-40B2-9B47-BD58C5BB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368A-4EAD-4ABE-9B8A-058B62EA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14</cp:revision>
  <cp:lastPrinted>2024-04-02T22:05:00Z</cp:lastPrinted>
  <dcterms:created xsi:type="dcterms:W3CDTF">2024-04-01T23:01:00Z</dcterms:created>
  <dcterms:modified xsi:type="dcterms:W3CDTF">2024-04-08T22:16:00Z</dcterms:modified>
</cp:coreProperties>
</file>